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F9" w:rsidRPr="004227A7" w:rsidRDefault="00213AF9" w:rsidP="00213AF9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:rsidR="00213AF9" w:rsidRPr="004227A7" w:rsidRDefault="00213AF9" w:rsidP="00213AF9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3AF9" w:rsidRPr="004227A7" w:rsidRDefault="00213AF9" w:rsidP="00213A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A7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213AF9" w:rsidRPr="004227A7" w:rsidRDefault="00213AF9" w:rsidP="00213A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AF9" w:rsidRPr="004227A7" w:rsidRDefault="00213AF9" w:rsidP="00213AF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213AF9" w:rsidRPr="004227A7" w:rsidRDefault="00213AF9" w:rsidP="00213A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F9" w:rsidRPr="00227FEC" w:rsidRDefault="00213AF9" w:rsidP="00213A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EC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Ured predsjednika Republike Hrvatske ostvaruje prihode: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- u okviru skupine 66 Prihodi od prodaje proizvoda i robe te pruženih usluga i prihoda od donacija te izvora financiranja 31 Vlastiti prihodi. Prihodi od prodaje proizvoda i robe te pruženih usluga i prihoda od donacija u prvom polugodištu 2024. godine ostvareni su u iznosu </w:t>
      </w:r>
      <w:r w:rsidR="00517397" w:rsidRPr="00227FEC">
        <w:rPr>
          <w:rFonts w:ascii="Times New Roman" w:hAnsi="Times New Roman" w:cs="Times New Roman"/>
          <w:sz w:val="24"/>
          <w:szCs w:val="24"/>
        </w:rPr>
        <w:t>29.087,88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- u okviru skupine 67 Prihodi iz proračuna te izvora financiranja 11 Opći prihodi i primici. </w:t>
      </w:r>
    </w:p>
    <w:p w:rsidR="00213AF9" w:rsidRPr="00227FEC" w:rsidRDefault="00213AF9" w:rsidP="00213A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Prihodi iz proračuna u prvom polugodištu 2024. godine ostvareni su u iznosu </w:t>
      </w:r>
      <w:r w:rsidR="00426C9B" w:rsidRPr="00227FEC">
        <w:rPr>
          <w:rFonts w:ascii="Times New Roman" w:hAnsi="Times New Roman" w:cs="Times New Roman"/>
          <w:sz w:val="24"/>
          <w:szCs w:val="24"/>
        </w:rPr>
        <w:t>2.773.162,20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13AF9" w:rsidRPr="00227FEC" w:rsidRDefault="00213AF9" w:rsidP="00213AF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3AF9" w:rsidRPr="00227FEC" w:rsidRDefault="00213AF9" w:rsidP="00213A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EC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Za djelovanje Ureda predsjednika Republike Hrvatske rashodi su planirani kroz aktivnosti A504000 Administracija i upravljanje i kapitalni projekt K504004 Informatizacija.</w:t>
      </w: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Ukupni rashodi u prvom polugodištu 2024. godine izvršeni su u iznosu 2.</w:t>
      </w:r>
      <w:r w:rsidR="00517397" w:rsidRPr="00227FEC">
        <w:rPr>
          <w:rFonts w:ascii="Times New Roman" w:hAnsi="Times New Roman" w:cs="Times New Roman"/>
          <w:sz w:val="24"/>
          <w:szCs w:val="24"/>
        </w:rPr>
        <w:t>800.326,34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517397" w:rsidRPr="00227FEC">
        <w:rPr>
          <w:rFonts w:ascii="Times New Roman" w:hAnsi="Times New Roman" w:cs="Times New Roman"/>
          <w:sz w:val="24"/>
          <w:szCs w:val="24"/>
        </w:rPr>
        <w:t>41,07</w:t>
      </w:r>
      <w:r w:rsidRPr="00227FEC">
        <w:rPr>
          <w:rFonts w:ascii="Times New Roman" w:hAnsi="Times New Roman" w:cs="Times New Roman"/>
          <w:sz w:val="24"/>
          <w:szCs w:val="24"/>
        </w:rPr>
        <w:t xml:space="preserve">% ukupno planiranih financijskih sredstava za 2024. godinu. U odnosu na isto razdoblje prethodne godine ukupni rashodi veći su za </w:t>
      </w:r>
      <w:r w:rsidR="00517397" w:rsidRPr="00227FEC">
        <w:rPr>
          <w:rFonts w:ascii="Times New Roman" w:hAnsi="Times New Roman" w:cs="Times New Roman"/>
          <w:sz w:val="24"/>
          <w:szCs w:val="24"/>
        </w:rPr>
        <w:t>19,65</w:t>
      </w:r>
      <w:r w:rsidRPr="00227FEC">
        <w:rPr>
          <w:rFonts w:ascii="Times New Roman" w:hAnsi="Times New Roman" w:cs="Times New Roman"/>
          <w:sz w:val="24"/>
          <w:szCs w:val="24"/>
        </w:rPr>
        <w:t>%.</w:t>
      </w: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EC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Rashodi poslovanja u prvom polugodištu 2024. godine izvršeni su u iznosu </w:t>
      </w:r>
      <w:r w:rsidRPr="00227F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</w:t>
      </w:r>
      <w:r w:rsidR="00D822EE" w:rsidRPr="00227F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763.310,95</w:t>
      </w:r>
      <w:r w:rsidRPr="00227F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227FEC">
        <w:rPr>
          <w:rFonts w:ascii="Times New Roman" w:hAnsi="Times New Roman" w:cs="Times New Roman"/>
          <w:sz w:val="24"/>
          <w:szCs w:val="24"/>
        </w:rPr>
        <w:t xml:space="preserve">eura, što je </w:t>
      </w:r>
      <w:r w:rsidR="00D822EE" w:rsidRPr="00227FEC">
        <w:rPr>
          <w:rFonts w:ascii="Times New Roman" w:hAnsi="Times New Roman" w:cs="Times New Roman"/>
          <w:sz w:val="24"/>
          <w:szCs w:val="24"/>
        </w:rPr>
        <w:t>42,15</w:t>
      </w:r>
      <w:r w:rsidRPr="00227FEC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rashoda poslovanja. U odnosu na isto razdoblje prethodne godine rashodi poslovanja veći su za </w:t>
      </w:r>
      <w:r w:rsidR="00D822EE" w:rsidRPr="00227FEC">
        <w:rPr>
          <w:rFonts w:ascii="Times New Roman" w:hAnsi="Times New Roman" w:cs="Times New Roman"/>
          <w:sz w:val="24"/>
          <w:szCs w:val="24"/>
        </w:rPr>
        <w:t>22,46</w:t>
      </w:r>
      <w:r w:rsidRPr="00227FEC">
        <w:rPr>
          <w:rFonts w:ascii="Times New Roman" w:hAnsi="Times New Roman" w:cs="Times New Roman"/>
          <w:sz w:val="24"/>
          <w:szCs w:val="24"/>
        </w:rPr>
        <w:t>%.</w:t>
      </w:r>
    </w:p>
    <w:p w:rsidR="00213AF9" w:rsidRPr="00227FEC" w:rsidRDefault="00213AF9" w:rsidP="00213AF9">
      <w:pPr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U strukturi rashoda poslovanja najveći udio čine rashodi za zaposlene i materijalni rashodi.</w:t>
      </w:r>
    </w:p>
    <w:p w:rsidR="00213AF9" w:rsidRPr="00227FEC" w:rsidRDefault="00213AF9" w:rsidP="00213AF9">
      <w:pPr>
        <w:pStyle w:val="BodyText"/>
        <w:spacing w:after="0"/>
        <w:jc w:val="both"/>
        <w:rPr>
          <w:sz w:val="24"/>
          <w:szCs w:val="24"/>
        </w:rPr>
      </w:pP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FEC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B8219F" w:rsidRPr="00227FEC" w:rsidRDefault="00213AF9" w:rsidP="00213A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27FEC">
        <w:rPr>
          <w:rFonts w:ascii="Times New Roman" w:hAnsi="Times New Roman" w:cs="Times New Roman"/>
          <w:sz w:val="24"/>
          <w:szCs w:val="24"/>
        </w:rPr>
        <w:t>Rashodi za zaposlene u prvom polugodištu 2024. godine izvršeni su u iznosu 1.</w:t>
      </w:r>
      <w:r w:rsidR="00DD33CD" w:rsidRPr="00227FEC">
        <w:rPr>
          <w:rFonts w:ascii="Times New Roman" w:hAnsi="Times New Roman" w:cs="Times New Roman"/>
          <w:sz w:val="24"/>
          <w:szCs w:val="24"/>
        </w:rPr>
        <w:t>941.846</w:t>
      </w:r>
      <w:r w:rsidRPr="00227FEC">
        <w:rPr>
          <w:rFonts w:ascii="Times New Roman" w:hAnsi="Times New Roman" w:cs="Times New Roman"/>
          <w:sz w:val="24"/>
          <w:szCs w:val="24"/>
        </w:rPr>
        <w:t>,0</w:t>
      </w:r>
      <w:r w:rsidR="00DD33CD" w:rsidRPr="00227FEC">
        <w:rPr>
          <w:rFonts w:ascii="Times New Roman" w:hAnsi="Times New Roman" w:cs="Times New Roman"/>
          <w:sz w:val="24"/>
          <w:szCs w:val="24"/>
        </w:rPr>
        <w:t>4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AB087B" w:rsidRPr="00227FEC">
        <w:rPr>
          <w:rFonts w:ascii="Times New Roman" w:hAnsi="Times New Roman" w:cs="Times New Roman"/>
          <w:sz w:val="24"/>
          <w:szCs w:val="24"/>
        </w:rPr>
        <w:t>47,33</w:t>
      </w:r>
      <w:r w:rsidRPr="00227FEC">
        <w:rPr>
          <w:rFonts w:ascii="Times New Roman" w:hAnsi="Times New Roman" w:cs="Times New Roman"/>
          <w:sz w:val="24"/>
          <w:szCs w:val="24"/>
        </w:rPr>
        <w:t xml:space="preserve">% planiranih financijskih sredstava za zaposlene. U odnosu na isto razdoblje prethodne godine, rashodi za zaposlene veći su za </w:t>
      </w:r>
      <w:r w:rsidR="00AB087B" w:rsidRPr="00227FEC">
        <w:rPr>
          <w:rFonts w:ascii="Times New Roman" w:hAnsi="Times New Roman" w:cs="Times New Roman"/>
          <w:sz w:val="24"/>
          <w:szCs w:val="24"/>
        </w:rPr>
        <w:t>28,34</w:t>
      </w:r>
      <w:r w:rsidRPr="00227FEC">
        <w:rPr>
          <w:rFonts w:ascii="Times New Roman" w:hAnsi="Times New Roman" w:cs="Times New Roman"/>
          <w:sz w:val="24"/>
          <w:szCs w:val="24"/>
        </w:rPr>
        <w:t xml:space="preserve">%. Spomenuto povećanje posljedica je </w:t>
      </w:r>
      <w:r w:rsidR="00227FEC" w:rsidRPr="00227FEC">
        <w:rPr>
          <w:rFonts w:ascii="Times New Roman" w:hAnsi="Times New Roman" w:cs="Times New Roman"/>
          <w:sz w:val="24"/>
          <w:szCs w:val="24"/>
        </w:rPr>
        <w:t>Odluke o nazivima radnih mjesta, uvjetima za raspored, koeficijentima za obračun plaće i platnim razredima za obračun plaće državnih službenika i namještenika u Uredu predsjednika Republike Hrvatske te</w:t>
      </w:r>
      <w:r w:rsidRPr="00227FEC">
        <w:rPr>
          <w:rFonts w:ascii="Times New Roman" w:hAnsi="Times New Roman" w:cs="Times New Roman"/>
          <w:sz w:val="24"/>
          <w:szCs w:val="24"/>
        </w:rPr>
        <w:t xml:space="preserve"> prekovremenog rada uslijed povećanja obujma posla koji se nije mogao obaviti</w:t>
      </w:r>
      <w:r w:rsidR="00227FEC" w:rsidRPr="00227FEC">
        <w:rPr>
          <w:rFonts w:ascii="Times New Roman" w:hAnsi="Times New Roman" w:cs="Times New Roman"/>
          <w:sz w:val="24"/>
          <w:szCs w:val="24"/>
        </w:rPr>
        <w:t xml:space="preserve"> unutar redovnog radnog vremena.</w:t>
      </w:r>
    </w:p>
    <w:p w:rsidR="00B8219F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FEC">
        <w:rPr>
          <w:rFonts w:ascii="Times New Roman" w:hAnsi="Times New Roman" w:cs="Times New Roman"/>
          <w:b/>
          <w:i/>
          <w:sz w:val="24"/>
          <w:szCs w:val="24"/>
        </w:rPr>
        <w:lastRenderedPageBreak/>
        <w:t>Materijalni rashodi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Materijalni rashodi u prvom polugodištu 2024. godine izvršeni su u iznosu od </w:t>
      </w:r>
      <w:r w:rsidR="00DD33CD" w:rsidRPr="00227FEC">
        <w:rPr>
          <w:rFonts w:ascii="Times New Roman" w:hAnsi="Times New Roman" w:cs="Times New Roman"/>
          <w:sz w:val="24"/>
          <w:szCs w:val="24"/>
        </w:rPr>
        <w:t>821.313,77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AA75CF" w:rsidRPr="00227FEC">
        <w:rPr>
          <w:rFonts w:ascii="Times New Roman" w:hAnsi="Times New Roman" w:cs="Times New Roman"/>
          <w:sz w:val="24"/>
          <w:szCs w:val="24"/>
        </w:rPr>
        <w:t>34,61</w:t>
      </w:r>
      <w:r w:rsidRPr="00227FEC">
        <w:rPr>
          <w:rFonts w:ascii="Times New Roman" w:hAnsi="Times New Roman" w:cs="Times New Roman"/>
          <w:sz w:val="24"/>
          <w:szCs w:val="24"/>
        </w:rPr>
        <w:t>% planiranih financijskih sredstava za 2024. godinu u okviru materijalnih rashoda.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U okviru ove skupine rashoda sredstva su utrošena na: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službena putovanja, naknade za prijevoz za djelatnike za dolazak na posao i odlazak s posla, stručne seminare djelatnika Ureda, uredske potrepštine, materijal i sirovine, nabavu inventara za ugostiteljstvo te drugog inventara za Ured, nabavu radne odjeće za ugostiteljstvo i jedinicu tehničkog održavanja, intelektualne usluge, najam opreme i automobila, režijske, telekomunikacijske i komunalne usluge, nabavu tiskovina, reprezentaciju, protokolarne poklone, održavanje objekta i opreme, usluge tiskanja.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pStyle w:val="BodyText"/>
        <w:spacing w:after="0"/>
        <w:jc w:val="both"/>
        <w:rPr>
          <w:sz w:val="24"/>
          <w:szCs w:val="24"/>
        </w:rPr>
      </w:pPr>
      <w:r w:rsidRPr="00227FEC">
        <w:rPr>
          <w:sz w:val="24"/>
          <w:szCs w:val="24"/>
        </w:rPr>
        <w:t xml:space="preserve">U odnosu na isto razdoblje prethodne godine materijalni rashodi </w:t>
      </w:r>
      <w:r w:rsidR="00AB087B" w:rsidRPr="00227FEC">
        <w:rPr>
          <w:sz w:val="24"/>
          <w:szCs w:val="24"/>
        </w:rPr>
        <w:t>već</w:t>
      </w:r>
      <w:r w:rsidRPr="00227FEC">
        <w:rPr>
          <w:sz w:val="24"/>
          <w:szCs w:val="24"/>
        </w:rPr>
        <w:t xml:space="preserve">i su za </w:t>
      </w:r>
      <w:r w:rsidR="00AB087B" w:rsidRPr="00227FEC">
        <w:rPr>
          <w:sz w:val="24"/>
          <w:szCs w:val="24"/>
        </w:rPr>
        <w:t>10,51</w:t>
      </w:r>
      <w:r w:rsidRPr="00227FEC">
        <w:rPr>
          <w:sz w:val="24"/>
          <w:szCs w:val="24"/>
        </w:rPr>
        <w:t xml:space="preserve">%. 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FEC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213AF9" w:rsidRPr="00227FEC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Financijski rashodi u prvom polugodištu 2024. godine izvršeni su u iznosu od </w:t>
      </w:r>
      <w:r w:rsidR="00457E45" w:rsidRPr="00227FEC">
        <w:rPr>
          <w:rFonts w:ascii="Times New Roman" w:hAnsi="Times New Roman" w:cs="Times New Roman"/>
          <w:sz w:val="24"/>
          <w:szCs w:val="24"/>
        </w:rPr>
        <w:t>151,14</w:t>
      </w:r>
      <w:r w:rsidRPr="00227FEC"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EC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213AF9" w:rsidRPr="00227FEC" w:rsidRDefault="00213AF9" w:rsidP="00213A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 xml:space="preserve">Rashodi za nabavu nefinancijske imovine u prvom polugodištu 2024. godine izvršeni su u iznosu </w:t>
      </w:r>
      <w:r w:rsidR="00DD33CD" w:rsidRPr="00227F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37.015,39</w:t>
      </w:r>
      <w:r w:rsidRPr="00227F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02492" w:rsidRPr="00227FEC">
        <w:rPr>
          <w:rFonts w:ascii="Times New Roman" w:hAnsi="Times New Roman" w:cs="Times New Roman"/>
          <w:sz w:val="24"/>
          <w:szCs w:val="24"/>
        </w:rPr>
        <w:t>eura odnosno 14,15</w:t>
      </w:r>
      <w:r w:rsidRPr="00227FEC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navedenih rashoda. Sredstva su </w:t>
      </w:r>
      <w:r w:rsidR="00435939" w:rsidRPr="00227FEC">
        <w:rPr>
          <w:rFonts w:ascii="Times New Roman" w:hAnsi="Times New Roman" w:cs="Times New Roman"/>
          <w:sz w:val="24"/>
          <w:szCs w:val="24"/>
        </w:rPr>
        <w:t>utrošena</w:t>
      </w:r>
      <w:r w:rsidRPr="00227FEC">
        <w:rPr>
          <w:rFonts w:ascii="Times New Roman" w:hAnsi="Times New Roman" w:cs="Times New Roman"/>
          <w:sz w:val="24"/>
          <w:szCs w:val="24"/>
        </w:rPr>
        <w:t xml:space="preserve"> za nabavu uredske i komunikacijske opreme, klima uređaja,</w:t>
      </w:r>
      <w:r w:rsidR="00435939" w:rsidRPr="00227FEC">
        <w:rPr>
          <w:rFonts w:ascii="Times New Roman" w:hAnsi="Times New Roman" w:cs="Times New Roman"/>
          <w:sz w:val="24"/>
          <w:szCs w:val="24"/>
        </w:rPr>
        <w:t xml:space="preserve"> opreme za sustav kontrole pristupa,</w:t>
      </w:r>
      <w:r w:rsidRPr="00227FEC">
        <w:rPr>
          <w:rFonts w:ascii="Times New Roman" w:hAnsi="Times New Roman" w:cs="Times New Roman"/>
          <w:sz w:val="24"/>
          <w:szCs w:val="24"/>
        </w:rPr>
        <w:t xml:space="preserve"> ugostiteljske opreme te foto i računalne opreme.</w:t>
      </w: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FEC">
        <w:rPr>
          <w:rFonts w:ascii="Times New Roman" w:hAnsi="Times New Roman" w:cs="Times New Roman"/>
          <w:b/>
          <w:i/>
          <w:sz w:val="24"/>
          <w:szCs w:val="24"/>
        </w:rPr>
        <w:t>Obrazloženje ostvarenog prijenosa sredstava iz prethodne godine i prijenosa sredstava u sljedeću godinu/razdoblje</w:t>
      </w:r>
    </w:p>
    <w:p w:rsidR="00213AF9" w:rsidRPr="00227FEC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4227A7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C">
        <w:rPr>
          <w:rFonts w:ascii="Times New Roman" w:hAnsi="Times New Roman" w:cs="Times New Roman"/>
          <w:sz w:val="24"/>
          <w:szCs w:val="24"/>
        </w:rPr>
        <w:t>U okviru izvora financiranja 31 Vlastiti prihodi Ured predsjednika Republike Hrvatske svake godine prenosi sredstva koja se odnose na internu službu ugostiteljstva za potrebe Ureda.</w:t>
      </w:r>
    </w:p>
    <w:p w:rsidR="00213AF9" w:rsidRPr="004227A7" w:rsidRDefault="00213AF9" w:rsidP="0021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4227A7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4227A7" w:rsidRDefault="00213AF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F9" w:rsidRPr="004227A7" w:rsidRDefault="00213AF9" w:rsidP="00213A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C6D" w:rsidRDefault="002F3C6D"/>
    <w:sectPr w:rsidR="002F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F9"/>
    <w:rsid w:val="000A7BE6"/>
    <w:rsid w:val="00183A74"/>
    <w:rsid w:val="00213AF9"/>
    <w:rsid w:val="002250C6"/>
    <w:rsid w:val="00227FEC"/>
    <w:rsid w:val="002F3C6D"/>
    <w:rsid w:val="00426C9B"/>
    <w:rsid w:val="00435939"/>
    <w:rsid w:val="00457E45"/>
    <w:rsid w:val="00517397"/>
    <w:rsid w:val="008B1FE1"/>
    <w:rsid w:val="00A02492"/>
    <w:rsid w:val="00AA75CF"/>
    <w:rsid w:val="00AB087B"/>
    <w:rsid w:val="00B325D2"/>
    <w:rsid w:val="00B8219F"/>
    <w:rsid w:val="00D822EE"/>
    <w:rsid w:val="00D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13AF9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213AF9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1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13AF9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213AF9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1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cp:lastPrinted>2024-07-08T07:57:00Z</cp:lastPrinted>
  <dcterms:created xsi:type="dcterms:W3CDTF">2024-08-30T09:54:00Z</dcterms:created>
  <dcterms:modified xsi:type="dcterms:W3CDTF">2024-08-30T09:54:00Z</dcterms:modified>
</cp:coreProperties>
</file>